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ДОГОВОР ПОЖЕРТВОВАНИЯ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Публичная оферта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Благотворительного фонда «Фонд Ройзмана»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г. Екатеринбург                                                                                                       27.02.2024 года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1.1. Настоящая публичная оферта, именуемая в дальнейшем «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Оферта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», является предложением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Благотворительного фонда «Фонд Ройзмана»,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именуемого в дальнейшем «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Фонд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», в лице Генерального директора Косолаповой Светланы Алексеевны, действующей на основании Устава, заключить с любым физическим или юридическим лицом, именуемым в дальнейшем «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Благотворитель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», договор пожертвования, именуемый в дальнейшем «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Договор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», на условиях, предусмотренных настоящей Офертой.</w:t>
      </w:r>
      <w:r>
        <w:rPr>
          <w:rtl w:val="0"/>
        </w:rPr>
      </w:r>
      <w:r/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1.2. Данное предложение является публичной Офертой в соответствии с п. 2 ст. 437 Гражданского Кодекса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1.3. Оферта вступает в силу со дня, следующего за днем размещения на сайте Фонда в сети Интернет по адресу </w:t>
      </w:r>
      <w:hyperlink r:id="rId9" w:tooltip="https://roizmanfond.ru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rtl w:val="0"/>
          </w:rPr>
          <w:t xml:space="preserve">https://roizmanfond.ru/</w:t>
        </w:r>
      </w:hyperlink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, именуемом в дальнейшем «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Сайт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».</w:t>
      </w:r>
      <w:r>
        <w:rPr>
          <w:rtl w:val="0"/>
        </w:rPr>
      </w:r>
      <w:r/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1.4. Текст настоящей Оферты может быть изменен Фондом в одностороннем порядке в любое время, изменения вступают в силу со дня, следующего за днем размещения новой редакции Оферты на Сайте.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1.5. Оферта является бессрочной. Фонд вправе отменить Оферту в любое время.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1.6. Фонд готов заключать договоры пожертвования в ином порядке и (или) на иных условиях, нежели это предусмотрено Офертой, для чего любое заинтересованное лицо вправе обратиться для заключения договора в Фонд.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 Предмет Договора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 По настоящему договору Благотворитель в качестве добровольного благотворительного пожертвования передает Фонду собственные денежные средства любым удобным для Благотворителя способом, у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казанным в п. 4.2 настоящей Оферты, а Фонд принимает пожертвование и использует его на осуществление Фондом деятельности в соответствии с Уставом. Факт передачи пожертвования свидетельствует о полном согласии Благотворителя с условиями настоящего Договора.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2.2. Осуществление Благотворителем действий по настоящему Договору признается пожертвованием в соответствии со ст. 582 Гражданского кодекса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2.3. Благотворитель безвозмездно передает Фонду денежные средства в размере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, определенном Благотворителем, на осуществление Фондом уставной деятельности. Благотворитель имеет право запросить и получить информацию о характере и размере необходимой помощи на конкретные цели, а также информацию по благотворительным программам Фонда.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2.4. Благотворитель подтверждает и гарантирует Фонду, что передаваемые Фонду денежные ср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едства</w:t>
        <w:tab/>
        <w:t xml:space="preserve">принадлежат Благотворителю на праве собственности, правами третьих лиц не обременены, и безвозмездная передача Благотворителем Фонду указанных денежных средств не нарушает права третьих лиц и нормы действующего законодательства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3. Деятельность Фонда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3.1. Фонд осуществляет благотворительную деятельность, указанную в Уставе Фонда, в том числе: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left="720" w:hanging="36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оказание на бе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звозмездной основе помощи детям - инвалидам и взрослым инвалидам, людям, попавшим в тяжелое материальное положение, малоимущим, многодетным и не полным семьям, сиротам, пенсионерам, семьям, пострадавшим от пожара, стихийных бедствий, чрезвычайных ситуаций;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left="720" w:hanging="36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оказание на безвозмездной основе помощи детям из паллиативного отделения, направленной на избавление от боли и облегчения других тяжелых проявлений заболеваний в целях улучшения качества жизни;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left="720" w:hanging="36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оказание на безвозмездной основе помощи государственным учреждениям социального обслуживания населения;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left="720" w:hanging="36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оказание на безвозмездной основе помощи другим некоммерческим организациям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left="720" w:hanging="36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оказание на безвозмездной основе помощи государственным учреждениям, имеющим историческое, культовое, культурное или природоохранное значение, и мест захоронения;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left="720" w:hanging="36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  <w:rtl w:val="0"/>
        </w:rPr>
        <w:t xml:space="preserve">оказание на безвозмездной основе помощи государственным учреждениям здравоохранения.</w:t>
      </w:r>
      <w:r>
        <w:rPr>
          <w:rFonts w:ascii="Times New Roman" w:hAnsi="Times New Roman" w:eastAsia="Times New Roman" w:cs="Times New Roman"/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720" w:hanging="72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3.2. Деятельность Фонда не имеет целью извлечение прибыли.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right="0" w:firstLine="0"/>
        <w:jc w:val="both"/>
        <w:spacing w:before="0" w:after="0" w:line="240" w:lineRule="auto"/>
        <w:shd w:val="clear" w:color="auto" w:fill="ffffff"/>
        <w:widowControl/>
        <w:tabs>
          <w:tab w:val="left" w:pos="0" w:leader="none"/>
          <w:tab w:val="left" w:pos="15" w:leader="none"/>
          <w:tab w:val="left" w:pos="150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3.3. Фонд публикует информацию о своей деятельности, целях, задачах, мероприятиях на Сайте, в годовом отчете и в других открытых источниках.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720" w:hanging="72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rtl w:val="0"/>
        </w:rPr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720" w:hanging="720"/>
        <w:jc w:val="center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4. Внесение пожертвования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720" w:hanging="720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rtl w:val="0"/>
        </w:rPr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right="0" w:firstLine="0"/>
        <w:jc w:val="both"/>
        <w:spacing w:before="0" w:after="0" w:line="240" w:lineRule="auto"/>
        <w:shd w:val="clear" w:color="auto" w:fill="ffffff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4.1. Благотворитель самостоятельно определяет размер пожертвования и вносит его любым удобным способом, указанным на Сайте, на условиях настоящего Договора.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hanging="72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4.2. Благотворитель может сделать пожертвование следующими способами:</w:t>
      </w:r>
      <w:r>
        <w:rPr>
          <w:b w:val="0"/>
          <w:sz w:val="24"/>
          <w:szCs w:val="24"/>
        </w:rPr>
      </w:r>
    </w:p>
    <w:p>
      <w:pPr>
        <w:pStyle w:val="632"/>
        <w:numPr>
          <w:ilvl w:val="0"/>
          <w:numId w:val="1"/>
        </w:numPr>
        <w:ind w:left="708" w:right="0" w:hanging="283"/>
        <w:jc w:val="both"/>
        <w:spacing w:before="0" w:after="0" w:line="240" w:lineRule="auto"/>
        <w:shd w:val="clear" w:color="auto" w:fill="ffffff"/>
        <w:widowControl/>
        <w:tabs>
          <w:tab w:val="left" w:pos="699" w:leader="none"/>
        </w:tabs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rtl w:val="0"/>
        </w:rPr>
        <w:t xml:space="preserve">платежным поручением по реквизитам Фонда, указанным в разделе 7 настоящей Оферты, в том числе, через личный кабинет на интернет-сайте банка Благотворителя;</w:t>
      </w:r>
      <w:r>
        <w:rPr>
          <w:b w:val="0"/>
          <w:sz w:val="24"/>
          <w:szCs w:val="24"/>
          <w:u w:val="none"/>
        </w:rPr>
      </w:r>
    </w:p>
    <w:p>
      <w:pPr>
        <w:pStyle w:val="632"/>
        <w:numPr>
          <w:ilvl w:val="0"/>
          <w:numId w:val="1"/>
        </w:numPr>
        <w:ind w:left="708" w:right="0" w:hanging="283"/>
        <w:jc w:val="both"/>
        <w:spacing w:before="0" w:after="0" w:line="240" w:lineRule="auto"/>
        <w:shd w:val="clear" w:color="auto" w:fill="ffffff"/>
        <w:widowControl/>
        <w:tabs>
          <w:tab w:val="left" w:pos="660" w:leader="none"/>
          <w:tab w:val="left" w:pos="699" w:leader="none"/>
        </w:tabs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rtl w:val="0"/>
        </w:rPr>
        <w:t xml:space="preserve">воспользоваться системой электронных платежей, сделав пожертвование с банковской карты или электронными денежными средствами (подробности на Сайте);</w:t>
      </w:r>
      <w:r>
        <w:rPr>
          <w:b w:val="0"/>
          <w:sz w:val="24"/>
          <w:szCs w:val="24"/>
          <w:u w:val="none"/>
        </w:rPr>
      </w:r>
    </w:p>
    <w:p>
      <w:pPr>
        <w:pStyle w:val="632"/>
        <w:numPr>
          <w:ilvl w:val="0"/>
          <w:numId w:val="1"/>
        </w:numPr>
        <w:ind w:left="708" w:right="0" w:hanging="283"/>
        <w:jc w:val="both"/>
        <w:spacing w:before="0" w:after="0" w:line="240" w:lineRule="auto"/>
        <w:shd w:val="clear" w:color="auto" w:fill="ffffff"/>
        <w:widowControl/>
        <w:tabs>
          <w:tab w:val="left" w:pos="660" w:leader="none"/>
          <w:tab w:val="left" w:pos="699" w:leader="none"/>
        </w:tabs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rtl w:val="0"/>
        </w:rPr>
        <w:t xml:space="preserve">списать средства со счета мобильного телефона или отправить SMS- сообщение на короткий номер, указанный на Сайте;</w:t>
      </w:r>
      <w:r>
        <w:rPr>
          <w:rtl w:val="0"/>
        </w:rPr>
      </w:r>
      <w:r>
        <w:rPr>
          <w:b w:val="0"/>
          <w:sz w:val="24"/>
          <w:szCs w:val="24"/>
          <w:u w:val="none"/>
        </w:rPr>
      </w:r>
    </w:p>
    <w:p>
      <w:pPr>
        <w:pStyle w:val="632"/>
        <w:numPr>
          <w:ilvl w:val="0"/>
          <w:numId w:val="1"/>
        </w:numPr>
        <w:ind w:left="708" w:right="0" w:hanging="283"/>
        <w:jc w:val="both"/>
        <w:spacing w:before="0" w:after="0" w:line="240" w:lineRule="auto"/>
        <w:shd w:val="clear" w:color="auto" w:fill="ffffff"/>
        <w:widowControl/>
        <w:tabs>
          <w:tab w:val="left" w:pos="660" w:leader="none"/>
          <w:tab w:val="left" w:pos="699" w:leader="none"/>
        </w:tabs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rtl w:val="0"/>
        </w:rPr>
        <w:t xml:space="preserve">поместить наличные денежные средства в ящики для сбора пожертвований, установленные в интересах Фонда в общественных местах;</w:t>
      </w:r>
      <w:r>
        <w:rPr>
          <w:b w:val="0"/>
          <w:sz w:val="24"/>
          <w:szCs w:val="24"/>
          <w:u w:val="none"/>
        </w:rPr>
      </w:r>
    </w:p>
    <w:p>
      <w:pPr>
        <w:pStyle w:val="632"/>
        <w:numPr>
          <w:ilvl w:val="0"/>
          <w:numId w:val="1"/>
        </w:numPr>
        <w:ind w:left="708" w:right="0" w:hanging="283"/>
        <w:jc w:val="both"/>
        <w:spacing w:before="0" w:after="0" w:line="240" w:lineRule="auto"/>
        <w:shd w:val="clear" w:color="auto" w:fill="ffffff"/>
        <w:widowControl/>
        <w:tabs>
          <w:tab w:val="left" w:pos="660" w:leader="none"/>
          <w:tab w:val="left" w:pos="699" w:leader="none"/>
        </w:tabs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rtl w:val="0"/>
        </w:rPr>
        <w:t xml:space="preserve">перечислить пожертвование любым другими способами, указанными на Сайте.</w:t>
      </w:r>
      <w:r>
        <w:rPr>
          <w:b w:val="0"/>
          <w:sz w:val="24"/>
          <w:szCs w:val="24"/>
          <w:u w:val="none"/>
        </w:rPr>
      </w:r>
    </w:p>
    <w:p>
      <w:pPr>
        <w:pStyle w:val="632"/>
        <w:numPr>
          <w:ilvl w:val="2"/>
          <w:numId w:val="2"/>
        </w:numPr>
        <w:ind w:left="30" w:right="0" w:firstLine="0"/>
        <w:jc w:val="both"/>
        <w:spacing w:before="0" w:after="0" w:line="240" w:lineRule="auto"/>
        <w:shd w:val="clear" w:color="auto" w:fill="ffffff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4.3. Если выбранный Благотворителем способ перевода пожертвования не позволяет указать «назначение платежа», Благотворитель имеет право уточнить цели пожертвования другим письменным способом.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30" w:right="0" w:firstLine="0"/>
        <w:jc w:val="both"/>
        <w:spacing w:before="0" w:after="0" w:line="240" w:lineRule="auto"/>
        <w:shd w:val="clear" w:color="auto" w:fill="ffffff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4.4. При перечислении пожертвования для правильной идентификации плательщика Благотворитель может указать свои контактные данные: ФИО, адрес электронной почты, телефонный номер и прочие сведения.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30" w:right="0" w:firstLine="0"/>
        <w:jc w:val="both"/>
        <w:spacing w:before="0" w:after="0" w:line="240" w:lineRule="auto"/>
        <w:shd w:val="clear" w:color="auto" w:fill="ffffff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4.5. Совершение Благотворителем любого из действий, предусмотренных п. 4.2 Оферты, считается акцептом Оферты в соответствии с ч.3 ст. 438 Гражданского кодекса Российской Федерации.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30" w:right="0" w:firstLine="0"/>
        <w:jc w:val="both"/>
        <w:spacing w:before="0" w:after="0" w:line="240" w:lineRule="auto"/>
        <w:shd w:val="clear" w:color="auto" w:fill="ffffff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4.6. Датой акцепта Оферты и, соответственно, датой заключения Договора является: дата поступления денежных средств Благотворителя на расчетный счет Фонда.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720" w:hanging="72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rtl w:val="0"/>
        </w:rPr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720" w:hanging="720"/>
        <w:jc w:val="center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5. Права и обязанности сторон</w:t>
      </w:r>
      <w:r>
        <w:rPr>
          <w:b w:val="0"/>
          <w:sz w:val="24"/>
          <w:szCs w:val="24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76" w:lineRule="auto"/>
        <w:shd w:val="clear" w:color="auto" w:fill="ffffff"/>
        <w:widowControl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pStyle w:val="632"/>
        <w:numPr>
          <w:ilvl w:val="2"/>
          <w:numId w:val="2"/>
        </w:numPr>
        <w:ind w:left="15" w:right="0" w:hanging="30"/>
        <w:jc w:val="both"/>
        <w:spacing w:before="0" w:after="0" w:line="240" w:lineRule="auto"/>
        <w:shd w:val="clear" w:color="auto" w:fill="ffffff"/>
        <w:widowControl/>
        <w:tabs>
          <w:tab w:val="left" w:pos="345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5.1. Фонд обязуется использовать полученные от Благотворителя по настоящему Договору денежные средства строго в соответствии с действующим законодательством Российской Федерации и в рамках своей уставной деятельности.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15" w:right="0" w:hanging="30"/>
        <w:jc w:val="both"/>
        <w:spacing w:before="0" w:after="0" w:line="240" w:lineRule="auto"/>
        <w:shd w:val="clear" w:color="auto" w:fill="ffffff"/>
        <w:widowControl/>
        <w:tabs>
          <w:tab w:val="left" w:pos="345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5.2. Благотв</w:t>
      </w:r>
      <w:r>
        <w:rPr>
          <w:b w:val="0"/>
          <w:sz w:val="24"/>
          <w:szCs w:val="24"/>
          <w:rtl w:val="0"/>
        </w:rPr>
        <w:t xml:space="preserve">оритель имеет право по своему усмотрению выбрать объект оказания помощи, указав  соответствующий комментарий к платежу при переводе пожертвования. Актуальный список проектов и имена лиц, нуждающихся в помощи, публикуются на Сайте, в социальных сетях и СМИ.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15" w:right="0" w:hanging="30"/>
        <w:jc w:val="both"/>
        <w:spacing w:before="0" w:after="0" w:line="240" w:lineRule="auto"/>
        <w:shd w:val="clear" w:color="auto" w:fill="ffffff"/>
        <w:widowControl/>
        <w:tabs>
          <w:tab w:val="left" w:pos="345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5.3. При получении пожертвования без комментария Фонд самостоятельно конкретизирует его использование, исходя из статей бюджета Фонда.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15" w:right="0" w:hanging="30"/>
        <w:jc w:val="both"/>
        <w:spacing w:before="0" w:after="0" w:line="240" w:lineRule="auto"/>
        <w:shd w:val="clear" w:color="auto" w:fill="ffffff"/>
        <w:widowControl/>
        <w:tabs>
          <w:tab w:val="left" w:pos="345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5.4. При получении пожертвования для конкретного лица или на проект Фонда, Фонд использует это пожертвование по назначению.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15" w:right="0" w:hanging="30"/>
        <w:jc w:val="both"/>
        <w:spacing w:before="0" w:after="0" w:line="240" w:lineRule="auto"/>
        <w:shd w:val="clear" w:color="auto" w:fill="ffffff"/>
        <w:widowControl/>
        <w:tabs>
          <w:tab w:val="left" w:pos="345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5.5. При заключении настоящего Договора Благотворитель подтверждает свое согласие на то, что в случае превышения общей суммы пожертвований, необходимой для оказания помощи конкретному лицу и (или) реализ</w:t>
      </w:r>
      <w:r>
        <w:rPr>
          <w:b w:val="0"/>
          <w:sz w:val="24"/>
          <w:szCs w:val="24"/>
          <w:rtl w:val="0"/>
        </w:rPr>
        <w:t xml:space="preserve">ации благотворительной программы (проекта) Фонда вправе использовать разницу между общей суммой поступивших пожертвований и суммой, необходимой для помощи конкретному лицу (реализации благотворительной программы, проекта) на реализацию уставных целей Фонда</w:t>
      </w:r>
      <w:r>
        <w:rPr>
          <w:b w:val="0"/>
          <w:sz w:val="24"/>
          <w:szCs w:val="24"/>
          <w:rtl w:val="0"/>
        </w:rPr>
        <w:t xml:space="preserve">. Информация о завершении сбора пожертвований для помощи конкретному лицу в связи с поступлением суммы пожертвования, достаточной для помощи такому лицу, а также информация о завершении реализации благотворительной программы (проекта) публикуется на Сайте.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15" w:right="0" w:hanging="30"/>
        <w:jc w:val="both"/>
        <w:spacing w:before="0" w:after="0" w:line="240" w:lineRule="auto"/>
        <w:shd w:val="clear" w:color="auto" w:fill="ffffff"/>
        <w:widowControl/>
        <w:tabs>
          <w:tab w:val="left" w:pos="345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5.6. При заключении настоящего Договора Благотворитель подтверждает свое согласие на то, что в случае, если потребно</w:t>
      </w:r>
      <w:r>
        <w:rPr>
          <w:b w:val="0"/>
          <w:sz w:val="24"/>
          <w:szCs w:val="24"/>
          <w:rtl w:val="0"/>
        </w:rPr>
        <w:t xml:space="preserve">сть в реализации конкретной цели сбора пожертвований отпала, или наступили обстоятельства, препятствующие использованию Пожертвования по назначению по иным причинам, Фонд вправе использовать нереализованные средства на реализацию иных уставных целей Фонда.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15" w:right="0" w:hanging="30"/>
        <w:jc w:val="both"/>
        <w:spacing w:before="0" w:after="0" w:line="240" w:lineRule="auto"/>
        <w:shd w:val="clear" w:color="auto" w:fill="ffffff"/>
        <w:widowControl/>
        <w:tabs>
          <w:tab w:val="left" w:pos="345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5.7. Пожертвования, полученные Фондом без указания конкретного назначения, а также с указанием назначения, не позволяющего однозначно идентифицировать адресата помощи, благотворительную программу (проект), направляются на реализацию уставных целей Фонда.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15" w:right="0" w:hanging="30"/>
        <w:jc w:val="both"/>
        <w:spacing w:before="0" w:after="0" w:line="240" w:lineRule="auto"/>
        <w:shd w:val="clear" w:color="auto" w:fill="ffffff"/>
        <w:widowControl/>
        <w:tabs>
          <w:tab w:val="left" w:pos="345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5.8. Осуществляя пожертвование, Благотворитель соглашается с тем, что в соответствии с Федеральным законом «О благотворительной деятельности и добровольчестве  (волонтерстве)» от 11.08.1995 № 135-ФЗ  Фонд имеет</w:t>
      </w:r>
      <w:r>
        <w:rPr>
          <w:b w:val="0"/>
          <w:sz w:val="24"/>
          <w:szCs w:val="24"/>
          <w:rtl w:val="0"/>
        </w:rPr>
        <w:t xml:space="preserve"> право использовать часть полученных средств для финансирования административных расходов. Максимальная сумма средств, используемых для административных расходов Фонда, не может превышать 20 (двадцать) процентов от суммы, израсходованной за финансовый год.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15" w:right="0" w:hanging="30"/>
        <w:jc w:val="both"/>
        <w:spacing w:before="0" w:after="0" w:line="240" w:lineRule="auto"/>
        <w:shd w:val="clear" w:color="auto" w:fill="ffffff"/>
        <w:widowControl/>
        <w:tabs>
          <w:tab w:val="left" w:pos="345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5.9. Благотворитель дает Фонд</w:t>
      </w:r>
      <w:r>
        <w:rPr>
          <w:b w:val="0"/>
          <w:sz w:val="24"/>
          <w:szCs w:val="24"/>
          <w:rtl w:val="0"/>
        </w:rPr>
        <w:t xml:space="preserve">у согласие на обработку предоставленных Благотворителем при осуществлении пожертвования персональных данных (ФИО, адрес электронной почты, номер телефона и пр.), в том числе третьим лицам (на основании Договора с Фондом), для целей исполнения настоящего До</w:t>
      </w:r>
      <w:r>
        <w:rPr>
          <w:b w:val="0"/>
          <w:sz w:val="24"/>
          <w:szCs w:val="24"/>
          <w:rtl w:val="0"/>
        </w:rPr>
        <w:t xml:space="preserve">говора, а также для целей составления и раскрытия отчетности Фонда в процессе осуществления уставной деятельности, включая следующие действия: сбор, запись, систематизацию, накопление, хранение, уточнение (обновление, изменение), извлечение, использование,</w:t>
      </w:r>
      <w:r>
        <w:rPr>
          <w:b w:val="0"/>
          <w:sz w:val="24"/>
          <w:szCs w:val="24"/>
          <w:rtl w:val="0"/>
        </w:rPr>
        <w:t xml:space="preserve"> передачу (распространение, предоставление, доступ), обезличивание, блокирование, удаление, уничтожение персональных данных. Во всех остальных случаях Фонд обязуется не раскрывать третьим лицам личную информацию Благотворителя без его письменного согласия.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15" w:right="0" w:hanging="30"/>
        <w:jc w:val="both"/>
        <w:spacing w:before="0" w:after="0" w:line="240" w:lineRule="auto"/>
        <w:shd w:val="clear" w:color="auto" w:fill="ffffff"/>
        <w:widowControl/>
        <w:tabs>
          <w:tab w:val="left" w:pos="345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5.10. Исключением явля</w:t>
      </w:r>
      <w:r>
        <w:rPr>
          <w:b w:val="0"/>
          <w:sz w:val="24"/>
          <w:szCs w:val="24"/>
          <w:rtl w:val="0"/>
        </w:rPr>
        <w:t xml:space="preserve">ются случаи предоставления данных по запросу компетентных государственных органов, уполномоченных на получение соответствующей информации. Согласие на обработку персональных данных действует до тех пор, пока Благотворитель не отзовет его в письменном виде.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15" w:right="0" w:hanging="30"/>
        <w:jc w:val="both"/>
        <w:spacing w:before="0" w:after="0" w:line="240" w:lineRule="auto"/>
        <w:shd w:val="clear" w:color="auto" w:fill="ffffff"/>
        <w:widowControl/>
        <w:tabs>
          <w:tab w:val="left" w:pos="345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5.11. Благотворитель дает согласие Фонду на получение информационной рассылки Фонда на свой электронный адрес.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15" w:right="0" w:hanging="30"/>
        <w:jc w:val="both"/>
        <w:spacing w:before="0" w:after="0" w:line="240" w:lineRule="auto"/>
        <w:shd w:val="clear" w:color="auto" w:fill="ffffff"/>
        <w:widowControl/>
        <w:tabs>
          <w:tab w:val="left" w:pos="345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5.12. Фонд не несет перед Благотворителем иных обязательств, кроме обязательств, указанных в настоящем Договоре.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720" w:hanging="72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rtl w:val="0"/>
        </w:rPr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720" w:hanging="720"/>
        <w:jc w:val="center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6. Прочие условия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720" w:hanging="720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rtl w:val="0"/>
        </w:rPr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15" w:right="0" w:hanging="15"/>
        <w:spacing w:before="0" w:after="0" w:line="240" w:lineRule="auto"/>
        <w:shd w:val="clear" w:color="auto" w:fill="ffffff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6.1. В случае возникновения споров и разногласий между Благотворителем и Фондом по настоящему Договору, они будут по возможности разрешаться путем переговоров.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15" w:right="0" w:hanging="15"/>
        <w:spacing w:before="0" w:after="0" w:line="240" w:lineRule="auto"/>
        <w:shd w:val="clear" w:color="auto" w:fill="ffffff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6.2. В случае невозможности разрешения спора путем переговоров, споры и разногласия будут разрешаться в соответствии с действующим законодательством Российской Федерации в судебном порядке по месту нахождения Фонда.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720" w:hanging="720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rtl w:val="0"/>
        </w:rPr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720" w:hanging="720"/>
        <w:jc w:val="center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7. Реквизиты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720" w:hanging="720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rtl w:val="0"/>
        </w:rPr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Полное наименование: Благотворительный фонд «Фонд Ройзмана»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Краткое наименование: БФ «Фонд Ройзмана»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Адрес: 620075, г. Екатеринбург, ул. Энгельса, д. 15а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ИНН: 6685104760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КПП: 668501001</w:t>
      </w:r>
      <w:r>
        <w:rPr>
          <w:b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ОГРН: 1156600003317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Номер счета получателя платежа: 40703810716540002434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Номер корр. счета банка получателя платежа: 30101810500000000674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Наименование банка получателя платежа: Уральский банк ПАО Сбербанк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БИК: 046577674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rtl w:val="0"/>
        </w:rPr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Полное наименование: Благотворительный фонд «Фонд Ройзмана»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Краткое наименование: БФ «Фонд Ройзмана»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Адрес: 620075, г. Екатеринбург, ул. Энгельса, д. 15А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ИНН: 6685104760</w:t>
      </w:r>
      <w:r>
        <w:rPr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КПП: 668501001</w:t>
      </w:r>
      <w:r>
        <w:rPr>
          <w:b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  <w:rtl w:val="0"/>
        </w:rPr>
        <w:t xml:space="preserve">ОГРН: 1156600003317</w:t>
      </w:r>
      <w:r>
        <w:rPr>
          <w:rFonts w:ascii="Times New Roman" w:hAnsi="Times New Roman" w:eastAsia="Times New Roman" w:cs="Times New Roman"/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Номер счета получателя платежа: 40703810520000002133</w:t>
      </w: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Номер корр. счета банка получателя платежа: 30101810745374525104</w:t>
      </w: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sz w:val="24"/>
          <w:szCs w:val="24"/>
        </w:rPr>
      </w:r>
    </w:p>
    <w:p>
      <w:pPr>
        <w:pStyle w:val="632"/>
        <w:numPr>
          <w:ilvl w:val="2"/>
          <w:numId w:val="2"/>
        </w:numPr>
        <w:ind w:left="0" w:firstLine="0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  <w:rtl w:val="0"/>
        </w:rPr>
        <w:t xml:space="preserve">Наименование банка получателя платежа: в ООО «Банк Точка» г. Москва</w:t>
      </w: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sz w:val="24"/>
          <w:szCs w:val="24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БИК: 044525104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792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○"/>
      <w:lvlJc w:val="left"/>
      <w:pPr>
        <w:ind w:left="1080" w:hanging="360"/>
      </w:pPr>
    </w:lvl>
    <w:lvl w:ilvl="2">
      <w:start w:val="1"/>
      <w:numFmt w:val="bullet"/>
      <w:isLgl w:val="false"/>
      <w:suff w:val="tab"/>
      <w:lvlText w:val="■"/>
      <w:lvlJc w:val="left"/>
      <w:pPr>
        <w:ind w:left="1440" w:hanging="360"/>
      </w:pPr>
    </w:lvl>
    <w:lvl w:ilvl="3">
      <w:start w:val="1"/>
      <w:numFmt w:val="bullet"/>
      <w:isLgl w:val="false"/>
      <w:suff w:val="tab"/>
      <w:lvlText w:val="●"/>
      <w:lvlJc w:val="left"/>
      <w:pPr>
        <w:ind w:left="1800" w:hanging="360"/>
      </w:pPr>
    </w:lvl>
    <w:lvl w:ilvl="4">
      <w:start w:val="1"/>
      <w:numFmt w:val="bullet"/>
      <w:isLgl w:val="false"/>
      <w:suff w:val="tab"/>
      <w:lvlText w:val="○"/>
      <w:lvlJc w:val="left"/>
      <w:pPr>
        <w:ind w:left="2160" w:hanging="360"/>
      </w:pPr>
    </w:lvl>
    <w:lvl w:ilvl="5">
      <w:start w:val="1"/>
      <w:numFmt w:val="bullet"/>
      <w:isLgl w:val="false"/>
      <w:suff w:val="tab"/>
      <w:lvlText w:val="■"/>
      <w:lvlJc w:val="left"/>
      <w:pPr>
        <w:ind w:left="2520" w:hanging="360"/>
      </w:pPr>
    </w:lvl>
    <w:lvl w:ilvl="6">
      <w:start w:val="1"/>
      <w:numFmt w:val="bullet"/>
      <w:isLgl w:val="false"/>
      <w:suff w:val="tab"/>
      <w:lvlText w:val="●"/>
      <w:lvlJc w:val="left"/>
      <w:pPr>
        <w:ind w:left="2880" w:hanging="360"/>
      </w:pPr>
    </w:lvl>
    <w:lvl w:ilvl="7">
      <w:start w:val="1"/>
      <w:numFmt w:val="bullet"/>
      <w:isLgl w:val="false"/>
      <w:suff w:val="tab"/>
      <w:lvlText w:val="○"/>
      <w:lvlJc w:val="left"/>
      <w:pPr>
        <w:ind w:left="3240" w:hanging="360"/>
      </w:pPr>
    </w:lvl>
    <w:lvl w:ilvl="8">
      <w:start w:val="1"/>
      <w:numFmt w:val="bullet"/>
      <w:isLgl w:val="false"/>
      <w:suff w:val="tab"/>
      <w:lvlText w:val="■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3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3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3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3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3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35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36"/>
    <w:uiPriority w:val="10"/>
    <w:rPr>
      <w:sz w:val="48"/>
      <w:szCs w:val="48"/>
    </w:rPr>
  </w:style>
  <w:style w:type="character" w:styleId="37">
    <w:name w:val="Subtitle Char"/>
    <w:basedOn w:val="11"/>
    <w:link w:val="637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</w:style>
  <w:style w:type="table" w:styleId="629" w:default="1">
    <w:name w:val="Table Normal"/>
    <w:tblPr/>
  </w:style>
  <w:style w:type="paragraph" w:styleId="630">
    <w:name w:val="Heading 1"/>
    <w:basedOn w:val="628"/>
    <w:next w:val="628"/>
    <w:pPr>
      <w:keepLines/>
      <w:keepNext/>
      <w:pageBreakBefore w:val="0"/>
      <w:spacing w:before="480" w:after="120"/>
    </w:pPr>
    <w:rPr>
      <w:b/>
      <w:sz w:val="48"/>
      <w:szCs w:val="48"/>
    </w:rPr>
  </w:style>
  <w:style w:type="paragraph" w:styleId="631">
    <w:name w:val="Heading 2"/>
    <w:basedOn w:val="628"/>
    <w:next w:val="628"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632">
    <w:name w:val="Heading 3"/>
    <w:basedOn w:val="628"/>
    <w:next w:val="628"/>
    <w:pPr>
      <w:ind w:left="720" w:hanging="720"/>
      <w:spacing w:before="100" w:after="100" w:line="240" w:lineRule="auto"/>
    </w:pPr>
    <w:rPr>
      <w:rFonts w:ascii="Times New Roman" w:hAnsi="Times New Roman" w:eastAsia="Times New Roman" w:cs="Times New Roman"/>
      <w:b/>
      <w:sz w:val="27"/>
      <w:szCs w:val="27"/>
    </w:rPr>
  </w:style>
  <w:style w:type="paragraph" w:styleId="633">
    <w:name w:val="Heading 4"/>
    <w:basedOn w:val="628"/>
    <w:next w:val="628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634">
    <w:name w:val="Heading 5"/>
    <w:basedOn w:val="628"/>
    <w:next w:val="628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635">
    <w:name w:val="Heading 6"/>
    <w:basedOn w:val="628"/>
    <w:next w:val="628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636">
    <w:name w:val="Title"/>
    <w:basedOn w:val="628"/>
    <w:next w:val="628"/>
    <w:pPr>
      <w:keepLines/>
      <w:keepNext/>
      <w:pageBreakBefore w:val="0"/>
      <w:spacing w:before="480" w:after="120"/>
    </w:pPr>
    <w:rPr>
      <w:b/>
      <w:sz w:val="72"/>
      <w:szCs w:val="72"/>
    </w:rPr>
  </w:style>
  <w:style w:type="paragraph" w:styleId="637">
    <w:name w:val="Subtitle"/>
    <w:basedOn w:val="628"/>
    <w:next w:val="628"/>
    <w:pPr>
      <w:keepLines/>
      <w:keepNext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1019" w:default="1">
    <w:name w:val="Default Paragraph Font"/>
    <w:uiPriority w:val="1"/>
    <w:semiHidden/>
    <w:unhideWhenUsed/>
  </w:style>
  <w:style w:type="numbering" w:styleId="10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oizmanfond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